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WatchGuard oswaja GDPR – specjalny e-book przewodnik już dostępny!</w:t>
      </w:r>
    </w:p>
    <w:p>
      <w:pPr>
        <w:spacing w:before="0" w:after="500" w:line="264" w:lineRule="auto"/>
      </w:pPr>
      <w:r>
        <w:rPr>
          <w:rFonts w:ascii="calibri" w:hAnsi="calibri" w:eastAsia="calibri" w:cs="calibri"/>
          <w:sz w:val="36"/>
          <w:szCs w:val="36"/>
          <w:b/>
        </w:rPr>
        <w:t xml:space="preserve">Kraków, dnia 6 czerwca 2017 r. – Firma Bakotech, wyłączny dystrybutor rozwiązań firmy WatchGuard w Polsce, informuje, że WatchGuard wychodząc naprzeciw oczekiwaniom klientów, opracował specjalny e-book dotyczący nowych zasad GDPR.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Tematyka GDPR wzbudza obecnie duże zainteresowanie, a jej zasady zaczną obowiązywać za niecały rok, tj. 25.05.2018. Z tego względu, tak istotne jest, aby odpowiednio wcześniej się do nich przygotować. GDPR to inaczej nowe europejskie wymogi dotyczące danych osobowych, które dostarczają informacji na temat praktyk, zasad i technologii dotyczących bezpieczeństwa danych dla większości firm na świecie. Dane osobowe są szeroko definiowane jako wszelkie informacje, które można bezpośrednio lub pośrednio przypisać osobie, w tym pozornie łagodne dane jak adres IP. Ustawa GDPR nakazuje przestrzeganie określonych zasad od firm, które te dane zbierają.</w:t>
      </w:r>
    </w:p>
    <w:p>
      <w:pPr>
        <w:spacing w:before="0" w:after="300"/>
      </w:pPr>
      <w:r>
        <w:rPr>
          <w:rFonts w:ascii="calibri" w:hAnsi="calibri" w:eastAsia="calibri" w:cs="calibri"/>
          <w:sz w:val="24"/>
          <w:szCs w:val="24"/>
        </w:rPr>
        <w:t xml:space="preserve">Rozporządzenie nakłania przedsiębiorstwa do dodawania nowych procedur zgody, procesów powiadamiania, raportowania i komunikacji, a także do uaktualnienia bezpieczeństwa sieci do najnowszej technologii, która zapewnia "świadomość zagrożeń sytuacyjnych" oraz "umożliwia działanie zapobiegawcze, korygujące i łagodzące" w niemal czasie rzeczywistym . Firma WatchGuard dostarcza gotowe rozwiązanie w przygotowaniu się do zgodności z zasadami GDPR</w:t>
      </w:r>
      <w:r>
        <w:rPr>
          <w:rFonts w:ascii="calibri" w:hAnsi="calibri" w:eastAsia="calibri" w:cs="calibri"/>
          <w:sz w:val="24"/>
          <w:szCs w:val="24"/>
          <w:b/>
        </w:rPr>
        <w:t xml:space="preserve"> </w:t>
      </w:r>
      <w:r>
        <w:rPr>
          <w:rFonts w:ascii="calibri" w:hAnsi="calibri" w:eastAsia="calibri" w:cs="calibri"/>
          <w:sz w:val="24"/>
          <w:szCs w:val="24"/>
        </w:rPr>
        <w:t xml:space="preserve">i wdrożeniu rozwiązań zabezpieczających sieci, które spełniają nowe wymagania co do maksymalnego poziomu bezpieczeństwa dzięki pakietowi Total Security Suite.</w:t>
      </w:r>
    </w:p>
    <w:p>
      <w:pPr>
        <w:spacing w:before="0" w:after="300"/>
      </w:pPr>
      <w:r>
        <w:rPr>
          <w:rFonts w:ascii="calibri" w:hAnsi="calibri" w:eastAsia="calibri" w:cs="calibri"/>
          <w:sz w:val="24"/>
          <w:szCs w:val="24"/>
        </w:rPr>
        <w:t xml:space="preserve">E-book omawia takie kwestie jak – kogo dotyczą przepisy GDPR, jakie dane kwalifikują się do kategorii danych osobowych, transfer danych poza UE, jak dostosować się do nowych przepisów GDPR, jak pakiet Total Security Suite pomaga zachować bezpieczeństwo, lista planowania krok po kroku dla użytkowników, którzy rozpoczynają wdrożenie zasad GDPR.</w:t>
      </w:r>
    </w:p>
    <w:p>
      <w:pPr>
        <w:spacing w:before="0" w:after="300"/>
      </w:pPr>
      <w:r>
        <w:rPr>
          <w:rFonts w:ascii="calibri" w:hAnsi="calibri" w:eastAsia="calibri" w:cs="calibri"/>
          <w:sz w:val="24"/>
          <w:szCs w:val="24"/>
        </w:rPr>
        <w:t xml:space="preserve">E-book jest dostępny pod poniższym linkiem:</w:t>
      </w:r>
    </w:p>
    <w:p>
      <w:pPr>
        <w:spacing w:before="0" w:after="300"/>
      </w:pPr>
      <w:hyperlink r:id="rId7" w:history="1">
        <w:r>
          <w:rPr>
            <w:rFonts w:ascii="calibri" w:hAnsi="calibri" w:eastAsia="calibri" w:cs="calibri"/>
            <w:color w:val="0000FF"/>
            <w:sz w:val="24"/>
            <w:szCs w:val="24"/>
            <w:u w:val="single"/>
          </w:rPr>
          <w:t xml:space="preserve">https://p.widencdn.net/waygpa/GDPR_eBook</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Szybkie fakty:</w:t>
      </w:r>
    </w:p>
    <w:p>
      <w:pPr>
        <w:spacing w:before="0" w:after="300"/>
      </w:pPr>
      <w:r>
        <w:rPr>
          <w:rFonts w:ascii="calibri" w:hAnsi="calibri" w:eastAsia="calibri" w:cs="calibri"/>
          <w:sz w:val="24"/>
          <w:szCs w:val="24"/>
        </w:rPr>
        <w:t xml:space="preserve">- każda organizacja wykorzystująca dane osobowe obywatela UE musi przestrzegać zasad GDPR - niezależnie od lokalizacji na świecie</w:t>
      </w:r>
    </w:p>
    <w:p>
      <w:pPr>
        <w:spacing w:before="0" w:after="300"/>
      </w:pPr>
      <w:r>
        <w:rPr>
          <w:rFonts w:ascii="calibri" w:hAnsi="calibri" w:eastAsia="calibri" w:cs="calibri"/>
          <w:sz w:val="24"/>
          <w:szCs w:val="24"/>
        </w:rPr>
        <w:t xml:space="preserve">- firmy i organizacje, które nie przestrzegają zasad GDPR, mogą być skazane na grzywnę w wysokości do 20 milionów euro</w:t>
      </w:r>
    </w:p>
    <w:p>
      <w:pPr>
        <w:spacing w:before="0" w:after="300"/>
      </w:pPr>
      <w:r>
        <w:rPr>
          <w:rFonts w:ascii="calibri" w:hAnsi="calibri" w:eastAsia="calibri" w:cs="calibri"/>
          <w:sz w:val="24"/>
          <w:szCs w:val="24"/>
        </w:rPr>
        <w:t xml:space="preserve">- GDPR zaleca, aby dane osobowe nie były przewożone poza terytorium EU bez uprzedniej zgody</w:t>
      </w:r>
    </w:p>
    <w:p>
      <w:pPr>
        <w:spacing w:before="0" w:after="300"/>
      </w:pPr>
      <w:r>
        <w:rPr>
          <w:rFonts w:ascii="calibri" w:hAnsi="calibri" w:eastAsia="calibri" w:cs="calibri"/>
          <w:sz w:val="24"/>
          <w:szCs w:val="24"/>
        </w:rPr>
        <w:t xml:space="preserve">- powiadomienie o naruszeniu danych jest wymagane w ciągu 72 godzin, chyba, że utracone dane zostały zaszyfrowane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WatchGuard</w:t>
      </w:r>
    </w:p>
    <w:p>
      <w:pPr>
        <w:spacing w:before="0" w:after="300"/>
      </w:pPr>
      <w:r>
        <w:rPr>
          <w:rFonts w:ascii="calibri" w:hAnsi="calibri" w:eastAsia="calibri" w:cs="calibri"/>
          <w:sz w:val="24"/>
          <w:szCs w:val="24"/>
        </w:rPr>
        <w:t xml:space="preserve">Firma WatchGuard Technologies powstała w 1996 roku w Seattle. Od samego początku producent skupił się na rozwiązaniach dotyczących bezpieczeństwa sieciowego. To właśnie WatchGuard zaprojektował i uruchomił pierwszą zaporę sieciową. Firma zatrudnia ponad 500 pracowników i ma swoje przedstawicielstwa na wszystkich kontynentach. Producent regularnie klasyfikowany jako lider i wizjoner w raportach Gartnera dla UTM/NGFW, ma na swoim koncie ponad milion wdrożonych rozwiązań do zapewniania bezpieczeństwa, zarówno w sektorze małych i średnich przedsiębiorstw, jak i w dużych firmach na całym świecie. System raportowania, wizualizacji systemu i zarządzania, </w:t>
      </w:r>
      <w:r>
        <w:rPr>
          <w:rFonts w:ascii="calibri" w:hAnsi="calibri" w:eastAsia="calibri" w:cs="calibri"/>
          <w:sz w:val="24"/>
          <w:szCs w:val="24"/>
          <w:b/>
        </w:rPr>
        <w:t xml:space="preserve">WatchGuard Dimension,</w:t>
      </w:r>
      <w:r>
        <w:rPr>
          <w:rFonts w:ascii="calibri" w:hAnsi="calibri" w:eastAsia="calibri" w:cs="calibri"/>
          <w:sz w:val="24"/>
          <w:szCs w:val="24"/>
        </w:rPr>
        <w:t xml:space="preserve"> </w:t>
      </w:r>
      <w:r>
        <w:rPr>
          <w:rFonts w:ascii="calibri" w:hAnsi="calibri" w:eastAsia="calibri" w:cs="calibri"/>
          <w:sz w:val="24"/>
          <w:szCs w:val="24"/>
        </w:rPr>
        <w:t xml:space="preserve">uznawany jest jako wzór dla konkurencji, co potwierdzają liczne nagrody branżowe.</w:t>
      </w:r>
    </w:p>
    <w:p>
      <w:pPr>
        <w:spacing w:before="0" w:after="300"/>
      </w:pPr>
    </w:p>
    <w:p>
      <w:pPr>
        <w:spacing w:before="0" w:after="300"/>
      </w:pPr>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rPr>
        <w:t xml:space="preserve">BAKOTECH Sp. z o.o.</w:t>
      </w:r>
    </w:p>
    <w:p>
      <w:pPr>
        <w:spacing w:before="0" w:after="300"/>
      </w:pPr>
      <w:r>
        <w:rPr>
          <w:rFonts w:ascii="calibri" w:hAnsi="calibri" w:eastAsia="calibri" w:cs="calibri"/>
          <w:sz w:val="24"/>
          <w:szCs w:val="24"/>
        </w:rPr>
        <w:t xml:space="preserve">Agnieszka Trenda</w:t>
      </w:r>
    </w:p>
    <w:p>
      <w:pPr>
        <w:spacing w:before="0" w:after="300"/>
      </w:pPr>
      <w:r>
        <w:rPr>
          <w:rFonts w:ascii="calibri" w:hAnsi="calibri" w:eastAsia="calibri" w:cs="calibri"/>
          <w:sz w:val="24"/>
          <w:szCs w:val="24"/>
        </w:rPr>
        <w:t xml:space="preserve">PR&amp;Marketing Manager, tel. 660 910 074</w:t>
      </w:r>
    </w:p>
    <w:p>
      <w:pPr>
        <w:spacing w:before="0" w:after="300"/>
      </w:pPr>
      <w:r>
        <w:rPr>
          <w:rFonts w:ascii="calibri" w:hAnsi="calibri" w:eastAsia="calibri" w:cs="calibri"/>
          <w:sz w:val="24"/>
          <w:szCs w:val="24"/>
        </w:rPr>
        <w:t xml:space="preserve">e-mail: agnieszka.trenda@bakotech.com</w:t>
      </w:r>
    </w:p>
    <w:p>
      <w:pPr>
        <w:spacing w:before="0" w:after="300"/>
      </w:pPr>
      <w:hyperlink r:id="rId8" w:history="1">
        <w:r>
          <w:rPr>
            <w:rFonts w:ascii="calibri" w:hAnsi="calibri" w:eastAsia="calibri" w:cs="calibri"/>
            <w:color w:val="0000FF"/>
            <w:sz w:val="24"/>
            <w:szCs w:val="24"/>
            <w:u w:val="single"/>
          </w:rPr>
          <w:t xml:space="preserve">www.bakotech.pl</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BAKOTECH</w:t>
      </w:r>
    </w:p>
    <w:p>
      <w:pPr>
        <w:spacing w:before="0" w:after="300"/>
      </w:pPr>
      <w:r>
        <w:rPr>
          <w:rFonts w:ascii="calibri" w:hAnsi="calibri" w:eastAsia="calibri" w:cs="calibri"/>
          <w:sz w:val="24"/>
          <w:szCs w:val="24"/>
        </w:rPr>
        <w:t xml:space="preserve">Bakotech Sp. z o.o. z siedzibą w Krakowie, jest częścią międzynarodowej grupy dystrybucyjnej Bakotech®. Jako specjalizowany dystrybutor rozwiązań IT w zakresie bezpieczeństwa, sieci i infrastruktury IT, spółka koncentruje się na dostarczaniu najwyższej jakości produktów i usług w centralnej i wschodniej Europie, w szczególności w: Polsce, Bułgarii, Rumunii, Słowacji, Chorwacji i na Węgrzech, a także w krajach nadbałtyckich. Firma zajmuje się sprzedażą w kanale partnerskim, poprzez rozbudowaną sieć partnerów. Bakotech posiada w swoim portfolio innowacyjne produkty, które odniosły sukces międzynarodowy, a dzięki dystrybutorowi wchodzą nie tylko na rynek polski, ale również krajów Europy Środkowo-Wschodniej.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widencdn.net/waygpa/GDPR_eBook" TargetMode="External"/><Relationship Id="rId8" Type="http://schemas.openxmlformats.org/officeDocument/2006/relationships/hyperlink" Target="http://www.bakotech.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2026-10-25T11:57:26+01:00</dcterms:created>
  <dcterms:modified xsi:type="dcterms:W3CDTF">2026-10-25T11:57:26+01:00</dcterms:modified>
</cp:coreProperties>
</file>

<file path=docProps/custom.xml><?xml version="1.0" encoding="utf-8"?>
<Properties xmlns="http://schemas.openxmlformats.org/officeDocument/2006/custom-properties" xmlns:vt="http://schemas.openxmlformats.org/officeDocument/2006/docPropsVTypes"/>
</file>